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552FB" w14:textId="4E3361E4" w:rsidR="00D20253" w:rsidRPr="00D20253" w:rsidRDefault="00EB4997" w:rsidP="00D202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bookmarkEnd w:id="0"/>
      <w:r w:rsidRPr="00EB499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784A5833" wp14:editId="587EC46E">
            <wp:simplePos x="0" y="0"/>
            <wp:positionH relativeFrom="column">
              <wp:posOffset>4472940</wp:posOffset>
            </wp:positionH>
            <wp:positionV relativeFrom="page">
              <wp:posOffset>281940</wp:posOffset>
            </wp:positionV>
            <wp:extent cx="2003425" cy="1184910"/>
            <wp:effectExtent l="0" t="0" r="0" b="0"/>
            <wp:wrapSquare wrapText="bothSides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val="en-US"/>
        </w:rPr>
        <w:drawing>
          <wp:anchor distT="0" distB="0" distL="114300" distR="114300" simplePos="0" relativeHeight="251659264" behindDoc="0" locked="0" layoutInCell="1" allowOverlap="1" wp14:anchorId="61FF2C41" wp14:editId="5C72973B">
            <wp:simplePos x="0" y="0"/>
            <wp:positionH relativeFrom="column">
              <wp:posOffset>-40005</wp:posOffset>
            </wp:positionH>
            <wp:positionV relativeFrom="page">
              <wp:posOffset>351790</wp:posOffset>
            </wp:positionV>
            <wp:extent cx="1990725" cy="1021715"/>
            <wp:effectExtent l="0" t="0" r="317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BPA Logo for General Use Seethroug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53" w:rsidRPr="00D2025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EF3E74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"C:\\var\\folders\\ps\\ywkz82mn0rg6fdt5wws7p30m0000gn\\T\\com.microsoft.Word\\WebArchiveCopyPasteTempFiles\\successful-gambler-collecting-winnings-one-450w-127246055.jpg" \* MERGEFORMAT </w:instrText>
      </w:r>
      <w:r w:rsidR="00D20253" w:rsidRPr="00D20253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417E5BEB" w14:textId="35F28CA9" w:rsidR="00D20253" w:rsidRDefault="00D20253" w:rsidP="00315A10">
      <w:pPr>
        <w:jc w:val="center"/>
        <w:rPr>
          <w:b/>
          <w:sz w:val="24"/>
          <w:lang w:val="en-US"/>
        </w:rPr>
      </w:pPr>
    </w:p>
    <w:p w14:paraId="29AF28E9" w14:textId="77777777" w:rsidR="0031258B" w:rsidRDefault="0031258B" w:rsidP="00315A10">
      <w:pPr>
        <w:jc w:val="center"/>
        <w:rPr>
          <w:b/>
          <w:sz w:val="24"/>
          <w:lang w:val="en-US"/>
        </w:rPr>
      </w:pPr>
    </w:p>
    <w:p w14:paraId="726D5B57" w14:textId="124291BF" w:rsidR="0031258B" w:rsidRDefault="0031258B" w:rsidP="0031258B">
      <w:pPr>
        <w:pStyle w:val="Title"/>
        <w:rPr>
          <w:b/>
          <w:bCs/>
          <w:color w:val="D7722E"/>
          <w:lang w:val="en-US"/>
        </w:rPr>
      </w:pPr>
    </w:p>
    <w:p w14:paraId="1EDE0170" w14:textId="77777777" w:rsidR="00EB4997" w:rsidRPr="00EB4997" w:rsidRDefault="00EB4997" w:rsidP="00EB4997">
      <w:pPr>
        <w:rPr>
          <w:lang w:val="en-US"/>
        </w:rPr>
      </w:pPr>
    </w:p>
    <w:p w14:paraId="70DA59AE" w14:textId="2D1C2EAA" w:rsidR="0031258B" w:rsidRPr="00EB4997" w:rsidRDefault="0031258B" w:rsidP="0031258B">
      <w:pPr>
        <w:pStyle w:val="Title"/>
        <w:rPr>
          <w:rFonts w:ascii="Century Gothic" w:hAnsi="Century Gothic"/>
          <w:b/>
          <w:bCs/>
          <w:color w:val="EF5E2F"/>
          <w:lang w:val="en-US"/>
        </w:rPr>
      </w:pPr>
      <w:r w:rsidRPr="00EB4997">
        <w:rPr>
          <w:rFonts w:ascii="Century Gothic" w:hAnsi="Century Gothic"/>
          <w:b/>
          <w:bCs/>
          <w:color w:val="EF5E2F"/>
          <w:lang w:val="en-US"/>
        </w:rPr>
        <w:t>Social Responsibility Charter for Gaming Machines in Pubs</w:t>
      </w:r>
    </w:p>
    <w:p w14:paraId="12ADAEF4" w14:textId="0E26CCC4" w:rsidR="0031258B" w:rsidRPr="0031258B" w:rsidRDefault="0031258B" w:rsidP="0031258B">
      <w:pPr>
        <w:pStyle w:val="Title"/>
        <w:rPr>
          <w:rFonts w:ascii="Century Gothic" w:hAnsi="Century Gothic"/>
          <w:b/>
          <w:bCs/>
          <w:color w:val="7F7F7F" w:themeColor="text1" w:themeTint="80"/>
          <w:sz w:val="52"/>
          <w:szCs w:val="52"/>
          <w:lang w:val="en-US"/>
        </w:rPr>
      </w:pPr>
      <w:r w:rsidRPr="0031258B">
        <w:rPr>
          <w:rFonts w:ascii="Century Gothic" w:hAnsi="Century Gothic"/>
          <w:b/>
          <w:bCs/>
          <w:color w:val="7F7F7F" w:themeColor="text1" w:themeTint="80"/>
          <w:sz w:val="52"/>
          <w:szCs w:val="52"/>
          <w:lang w:val="en-US"/>
        </w:rPr>
        <w:t xml:space="preserve">Joint Gaming &amp; Copyright Group – British Beer &amp; Pub Association and </w:t>
      </w:r>
      <w:proofErr w:type="spellStart"/>
      <w:r w:rsidRPr="0031258B">
        <w:rPr>
          <w:rFonts w:ascii="Century Gothic" w:hAnsi="Century Gothic"/>
          <w:b/>
          <w:bCs/>
          <w:color w:val="7F7F7F" w:themeColor="text1" w:themeTint="80"/>
          <w:sz w:val="52"/>
          <w:szCs w:val="52"/>
          <w:lang w:val="en-US"/>
        </w:rPr>
        <w:t>UKHospitality</w:t>
      </w:r>
      <w:proofErr w:type="spellEnd"/>
      <w:r w:rsidRPr="0031258B">
        <w:rPr>
          <w:rFonts w:ascii="Century Gothic" w:hAnsi="Century Gothic"/>
          <w:b/>
          <w:bCs/>
          <w:color w:val="7F7F7F" w:themeColor="text1" w:themeTint="80"/>
          <w:sz w:val="52"/>
          <w:szCs w:val="52"/>
          <w:lang w:val="en-US"/>
        </w:rPr>
        <w:t>.</w:t>
      </w:r>
    </w:p>
    <w:p w14:paraId="0180E6F9" w14:textId="5D3BBB6E" w:rsidR="0031258B" w:rsidRDefault="0031258B" w:rsidP="0031258B">
      <w:pPr>
        <w:pStyle w:val="Heading3"/>
        <w:jc w:val="center"/>
        <w:rPr>
          <w:color w:val="000000" w:themeColor="text1"/>
          <w:lang w:val="en-US"/>
        </w:rPr>
      </w:pPr>
    </w:p>
    <w:p w14:paraId="70C35D43" w14:textId="579260AC" w:rsidR="0031258B" w:rsidRDefault="00EB499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US"/>
        </w:rPr>
      </w:pPr>
      <w:r w:rsidRPr="00EB4997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419E99A" wp14:editId="3B421421">
            <wp:simplePos x="0" y="0"/>
            <wp:positionH relativeFrom="column">
              <wp:posOffset>-712470</wp:posOffset>
            </wp:positionH>
            <wp:positionV relativeFrom="page">
              <wp:posOffset>5602605</wp:posOffset>
            </wp:positionV>
            <wp:extent cx="7717155" cy="5144135"/>
            <wp:effectExtent l="0" t="0" r="4445" b="0"/>
            <wp:wrapSquare wrapText="bothSides"/>
            <wp:docPr id="1" name="Picture 1" descr="A picture containing object, indoor, small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155" cy="514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58B">
        <w:rPr>
          <w:lang w:val="en-US"/>
        </w:rPr>
        <w:br w:type="page"/>
      </w:r>
    </w:p>
    <w:p w14:paraId="249E7E93" w14:textId="793773D8" w:rsidR="00315A10" w:rsidRPr="00EB4997" w:rsidRDefault="00490AE2" w:rsidP="0031258B">
      <w:pPr>
        <w:pStyle w:val="Heading1"/>
        <w:rPr>
          <w:rFonts w:ascii="Century Gothic" w:hAnsi="Century Gothic"/>
          <w:b/>
          <w:bCs/>
          <w:color w:val="EF5E2F"/>
          <w:sz w:val="48"/>
          <w:szCs w:val="48"/>
          <w:lang w:val="en-US"/>
        </w:rPr>
      </w:pPr>
      <w:r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lastRenderedPageBreak/>
        <w:t>Key</w:t>
      </w:r>
      <w:r w:rsidR="00315A10"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t xml:space="preserve"> principles </w:t>
      </w:r>
    </w:p>
    <w:p w14:paraId="5F64181C" w14:textId="77777777" w:rsidR="0031258B" w:rsidRPr="0031258B" w:rsidRDefault="0031258B" w:rsidP="0031258B">
      <w:pPr>
        <w:rPr>
          <w:sz w:val="32"/>
          <w:szCs w:val="32"/>
          <w:lang w:val="en-US"/>
        </w:rPr>
      </w:pPr>
    </w:p>
    <w:p w14:paraId="6C76E5A6" w14:textId="4EBEEE97" w:rsidR="00FC507B" w:rsidRPr="0031258B" w:rsidRDefault="00FC507B" w:rsidP="0031258B">
      <w:pPr>
        <w:pStyle w:val="ListParagraph"/>
        <w:numPr>
          <w:ilvl w:val="0"/>
          <w:numId w:val="15"/>
        </w:numPr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</w:pP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To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</w:t>
      </w:r>
      <w:r w:rsidR="00527B70"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collaborate</w:t>
      </w: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 across the pub sector</w:t>
      </w:r>
      <w:r w:rsidR="00527B70"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 and with other industry stakeholders </w:t>
      </w:r>
      <w:r w:rsidR="00527B70"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to address under-age and problem gambling where it occurs within pubs.</w:t>
      </w:r>
    </w:p>
    <w:p w14:paraId="5F4C4171" w14:textId="6057B0CD" w:rsidR="009E5045" w:rsidRPr="0031258B" w:rsidRDefault="009E5045" w:rsidP="0031258B">
      <w:pPr>
        <w:pStyle w:val="ListParagraph"/>
        <w:numPr>
          <w:ilvl w:val="0"/>
          <w:numId w:val="15"/>
        </w:numPr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</w:pP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To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</w:t>
      </w: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ensure pub staff understand </w:t>
      </w:r>
      <w:r w:rsidR="000E62AA"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and meet </w:t>
      </w: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their </w:t>
      </w:r>
      <w:r w:rsidR="000E62AA"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legal </w:t>
      </w: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responsibilities 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and have support in tackling under-age gambling if it occurs in pubs.</w:t>
      </w:r>
      <w:r w:rsidR="00BD4737"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</w:t>
      </w:r>
      <w:r w:rsidR="00BD4737" w:rsidRPr="0031258B">
        <w:rPr>
          <w:rFonts w:ascii="Century Gothic" w:hAnsi="Century Gothic"/>
          <w:color w:val="404040" w:themeColor="text1" w:themeTint="BF"/>
          <w:sz w:val="36"/>
          <w:szCs w:val="36"/>
        </w:rPr>
        <w:t xml:space="preserve">Under the Gambling Act 2005 it is illegal </w:t>
      </w:r>
      <w:r w:rsidR="009A5216">
        <w:rPr>
          <w:rFonts w:ascii="Century Gothic" w:hAnsi="Century Gothic"/>
          <w:color w:val="404040" w:themeColor="text1" w:themeTint="BF"/>
          <w:sz w:val="36"/>
          <w:szCs w:val="36"/>
        </w:rPr>
        <w:t>to allow</w:t>
      </w:r>
      <w:r w:rsidR="00BD4737" w:rsidRPr="0031258B">
        <w:rPr>
          <w:rFonts w:ascii="Century Gothic" w:hAnsi="Century Gothic"/>
          <w:color w:val="404040" w:themeColor="text1" w:themeTint="BF"/>
          <w:sz w:val="36"/>
          <w:szCs w:val="36"/>
        </w:rPr>
        <w:t xml:space="preserve"> those under the age of 18 to play Category C ‘AWP’ machines</w:t>
      </w:r>
      <w:r w:rsidR="00BD4737"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</w:t>
      </w:r>
      <w:r w:rsidR="009A5216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even if they are accompanied by an adult.</w:t>
      </w:r>
    </w:p>
    <w:p w14:paraId="1A7E7F31" w14:textId="6E4D3764" w:rsidR="009E5045" w:rsidRPr="0031258B" w:rsidRDefault="009E5045" w:rsidP="0031258B">
      <w:pPr>
        <w:pStyle w:val="ListParagraph"/>
        <w:numPr>
          <w:ilvl w:val="0"/>
          <w:numId w:val="15"/>
        </w:numPr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</w:pP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To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</w:t>
      </w: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co-operate with regulatory and enforcement bodies</w:t>
      </w:r>
      <w:r w:rsidR="00DA2842"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, such as Licensing Authorities and the Police,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 xml:space="preserve"> as relevant to the issue of gambling in pubs.</w:t>
      </w:r>
    </w:p>
    <w:p w14:paraId="60927966" w14:textId="1415A12C" w:rsidR="00527B70" w:rsidRPr="0031258B" w:rsidRDefault="00527B70" w:rsidP="0031258B">
      <w:pPr>
        <w:pStyle w:val="ListParagraph"/>
        <w:numPr>
          <w:ilvl w:val="0"/>
          <w:numId w:val="15"/>
        </w:numPr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</w:pP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To engage and work with the Gambling Commission</w:t>
      </w:r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, e.g. in developing initiatives, strategies and policies, sharing information</w:t>
      </w:r>
      <w:r w:rsidR="00010FB2"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, assisting in research.</w:t>
      </w:r>
    </w:p>
    <w:p w14:paraId="1387F963" w14:textId="527772B0" w:rsidR="00D20253" w:rsidRPr="0031258B" w:rsidRDefault="00527B70" w:rsidP="0031258B">
      <w:pPr>
        <w:pStyle w:val="ListParagraph"/>
        <w:numPr>
          <w:ilvl w:val="0"/>
          <w:numId w:val="15"/>
        </w:numPr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</w:pPr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 xml:space="preserve">To support the work undertaken by </w:t>
      </w:r>
      <w:proofErr w:type="spellStart"/>
      <w:r w:rsidRPr="0031258B">
        <w:rPr>
          <w:rFonts w:ascii="Century Gothic" w:hAnsi="Century Gothic"/>
          <w:b/>
          <w:bCs/>
          <w:color w:val="404040" w:themeColor="text1" w:themeTint="BF"/>
          <w:sz w:val="36"/>
          <w:szCs w:val="36"/>
          <w:lang w:val="en-US"/>
        </w:rPr>
        <w:t>GambleAware</w:t>
      </w:r>
      <w:proofErr w:type="spellEnd"/>
      <w:r w:rsidRPr="0031258B">
        <w:rPr>
          <w:rFonts w:ascii="Century Gothic" w:hAnsi="Century Gothic"/>
          <w:color w:val="404040" w:themeColor="text1" w:themeTint="BF"/>
          <w:sz w:val="36"/>
          <w:szCs w:val="36"/>
          <w:lang w:val="en-US"/>
        </w:rPr>
        <w:t>, particularly to better understand the specific issues that arise from gambling in pubs and how to address them.</w:t>
      </w:r>
    </w:p>
    <w:p w14:paraId="4E9F9EBD" w14:textId="77777777" w:rsidR="0031258B" w:rsidRPr="0031258B" w:rsidRDefault="0031258B">
      <w:pPr>
        <w:rPr>
          <w:rFonts w:ascii="Century Gothic" w:eastAsiaTheme="majorEastAsia" w:hAnsi="Century Gothic" w:cstheme="majorBidi"/>
          <w:b/>
          <w:bCs/>
          <w:color w:val="ED7D31" w:themeColor="accent2"/>
          <w:sz w:val="48"/>
          <w:szCs w:val="48"/>
          <w:lang w:val="en-US"/>
        </w:rPr>
      </w:pPr>
      <w:r w:rsidRPr="0031258B">
        <w:rPr>
          <w:rFonts w:ascii="Century Gothic" w:hAnsi="Century Gothic"/>
          <w:b/>
          <w:bCs/>
          <w:color w:val="ED7D31" w:themeColor="accent2"/>
          <w:sz w:val="48"/>
          <w:szCs w:val="48"/>
          <w:lang w:val="en-US"/>
        </w:rPr>
        <w:br w:type="page"/>
      </w:r>
    </w:p>
    <w:p w14:paraId="514CD281" w14:textId="14EC770B" w:rsidR="003675CA" w:rsidRPr="00EB4997" w:rsidRDefault="00490AE2" w:rsidP="0031258B">
      <w:pPr>
        <w:pStyle w:val="Heading1"/>
        <w:rPr>
          <w:rFonts w:ascii="Century Gothic" w:hAnsi="Century Gothic"/>
          <w:b/>
          <w:bCs/>
          <w:color w:val="EF5E2F"/>
          <w:sz w:val="48"/>
          <w:szCs w:val="48"/>
          <w:lang w:val="en-US"/>
        </w:rPr>
      </w:pPr>
      <w:r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lastRenderedPageBreak/>
        <w:t xml:space="preserve">Code of </w:t>
      </w:r>
      <w:r w:rsidR="00190F94"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t>Practice</w:t>
      </w:r>
      <w:r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t xml:space="preserve"> for Pubs</w:t>
      </w:r>
    </w:p>
    <w:p w14:paraId="2AD6FE74" w14:textId="77777777" w:rsidR="0031258B" w:rsidRDefault="0031258B" w:rsidP="0031258B">
      <w:pPr>
        <w:pStyle w:val="ListParagraph"/>
        <w:rPr>
          <w:rFonts w:ascii="Century Gothic" w:hAnsi="Century Gothic"/>
          <w:sz w:val="24"/>
          <w:szCs w:val="24"/>
          <w:lang w:val="en-US"/>
        </w:rPr>
      </w:pPr>
    </w:p>
    <w:p w14:paraId="4DD2719D" w14:textId="4B1AA045" w:rsidR="00A1716B" w:rsidRPr="00EB4997" w:rsidRDefault="00A1716B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all staff are aware that it is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u w:val="single"/>
          <w:lang w:val="en-US"/>
        </w:rPr>
        <w:t>illegal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for anyone under the age of 18 to play a gaming machine (Category C)</w:t>
      </w:r>
      <w:r w:rsidR="009A5216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,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</w:t>
      </w:r>
      <w:r w:rsidR="009A5216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even if accompanied by an adult, </w:t>
      </w:r>
      <w:r w:rsidR="008870E3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or undertake any other form of gambling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in the pub.</w:t>
      </w:r>
    </w:p>
    <w:p w14:paraId="737C66D6" w14:textId="173FC4E0" w:rsidR="00A1716B" w:rsidRPr="00EB4997" w:rsidRDefault="00A1716B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where a Challenge 21 / Challenge 25 policy is adopted for the sale of alcohol, the same policy and approach is applied for challenging players of gaming machines.</w:t>
      </w:r>
      <w:r w:rsidR="00AA22A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 If neither policy is in use, all players believed to be under 18 must be challenged and asked to provide suitable ID.</w:t>
      </w:r>
    </w:p>
    <w:p w14:paraId="0A31715C" w14:textId="259F1733" w:rsidR="0031258B" w:rsidRPr="00EB4997" w:rsidRDefault="00BD4737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regular training for all staff on the issue of under-age gambling and how this should be tackled in the pub.  </w:t>
      </w:r>
    </w:p>
    <w:p w14:paraId="7B422AAF" w14:textId="6842E78E" w:rsidR="00FC49CF" w:rsidRPr="00EB4997" w:rsidRDefault="00FC49CF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that all gaming machines have relevant Licensing Authority approval.  If no more than two machines </w:t>
      </w:r>
      <w:r w:rsidR="00D33896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are in the pub,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that the Licensing Authority has been advised of the intention to benefit from the automatic entitlement; if more than two machines, ensure that a licensed premises gaming machine permit is held.  </w:t>
      </w:r>
    </w:p>
    <w:p w14:paraId="09DA8DFC" w14:textId="57834E95" w:rsidR="00BD4737" w:rsidRPr="00EB4997" w:rsidRDefault="00BD4737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specific guidance is given to staff regarding siting of gaming machines and also preventing under</w:t>
      </w:r>
      <w:r w:rsidR="009A5216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-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age play of machines.  For example, machines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>must be located in a place within the premises so that their use can be supervised by staff directly or by other means (e.g. CCTV</w:t>
      </w:r>
      <w:proofErr w:type="gramStart"/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>), and</w:t>
      </w:r>
      <w:proofErr w:type="gramEnd"/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 xml:space="preserve"> must be located away from ATMs.</w:t>
      </w:r>
    </w:p>
    <w:p w14:paraId="20859FFD" w14:textId="5D247E6B" w:rsidR="00BD4737" w:rsidRPr="00EB4997" w:rsidRDefault="00BD4737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adequate arrangements are in place for the supervision of gaming machines.</w:t>
      </w:r>
    </w:p>
    <w:p w14:paraId="3C1778F0" w14:textId="1A4C80B0" w:rsidR="00DB5B24" w:rsidRPr="00EB4997" w:rsidRDefault="00A51FD0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nsure that </w:t>
      </w:r>
      <w:r w:rsidR="00010FB2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appropriate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and clear messaging </w:t>
      </w:r>
      <w:r w:rsidR="00010FB2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(aimed at under-age players and problem gamblers) 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is used in the pub – namely either on or near any gaming machines</w:t>
      </w:r>
      <w:r w:rsidR="00010FB2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  This can include messaging as part of the gaming machine itself, or other physical messaging (e.g. posters).</w:t>
      </w:r>
    </w:p>
    <w:p w14:paraId="3F0F789D" w14:textId="142309A1" w:rsidR="00BD4737" w:rsidRPr="00EB4997" w:rsidRDefault="00BD4737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Maintain a refusals log to record instances of prevention of under-age gambling after successful challenge by staff.</w:t>
      </w:r>
    </w:p>
    <w:p w14:paraId="36683026" w14:textId="7E59E675" w:rsidR="00F10658" w:rsidRPr="00EB4997" w:rsidRDefault="00F10658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that all gaming machines </w:t>
      </w:r>
      <w:r w:rsidR="00D33896" w:rsidRPr="00EB4997">
        <w:rPr>
          <w:rFonts w:ascii="Century Gothic" w:hAnsi="Century Gothic"/>
          <w:color w:val="404040" w:themeColor="text1" w:themeTint="BF"/>
          <w:sz w:val="24"/>
          <w:szCs w:val="24"/>
        </w:rPr>
        <w:t>are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 xml:space="preserve"> sourced and maintained by a Gambling Commission licensed supplier.</w:t>
      </w:r>
    </w:p>
    <w:p w14:paraId="138BD82F" w14:textId="1B8C8606" w:rsidR="00A51FD0" w:rsidRPr="00EB4997" w:rsidRDefault="00A51FD0" w:rsidP="0031258B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Always offer to return any stake that has been </w:t>
      </w:r>
      <w:r w:rsidR="001E286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placed by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 under-age player </w:t>
      </w:r>
      <w:r w:rsidR="00C3008A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that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has been successfully challenged and </w:t>
      </w:r>
      <w:proofErr w:type="gramStart"/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refused</w:t>
      </w:r>
      <w:r w:rsidR="00C3008A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, but</w:t>
      </w:r>
      <w:proofErr w:type="gramEnd"/>
      <w:r w:rsidR="00C3008A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withhold any winnings</w:t>
      </w:r>
      <w:r w:rsidR="00537DD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that have not been withdrawn from the machine</w:t>
      </w:r>
      <w:r w:rsidR="00C3008A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</w:t>
      </w:r>
    </w:p>
    <w:p w14:paraId="7C07335D" w14:textId="2B3003CF" w:rsidR="00EB4997" w:rsidRDefault="00537DD4" w:rsidP="003675CA">
      <w:pPr>
        <w:pStyle w:val="ListParagraph"/>
        <w:numPr>
          <w:ilvl w:val="0"/>
          <w:numId w:val="16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Ensure compliance with relevant codes and practices such as the Gambling Commission’s Code of Practice for Gaming Machines in Clubs and Premises with an Alcohol </w:t>
      </w:r>
      <w:proofErr w:type="spellStart"/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Licence</w:t>
      </w:r>
      <w:proofErr w:type="spellEnd"/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</w:t>
      </w:r>
    </w:p>
    <w:p w14:paraId="0B49D9AA" w14:textId="251BBE74" w:rsidR="00EB4997" w:rsidRPr="00EB4997" w:rsidRDefault="00EB4997" w:rsidP="00EB4997">
      <w:p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br w:type="page"/>
      </w:r>
    </w:p>
    <w:p w14:paraId="109B595A" w14:textId="56C0C9E2" w:rsidR="00490AE2" w:rsidRPr="00EB4997" w:rsidRDefault="00490AE2" w:rsidP="0031258B">
      <w:pPr>
        <w:pStyle w:val="Heading1"/>
        <w:rPr>
          <w:rFonts w:ascii="Century Gothic" w:hAnsi="Century Gothic"/>
          <w:b/>
          <w:bCs/>
          <w:color w:val="EF5E2F"/>
          <w:sz w:val="48"/>
          <w:szCs w:val="48"/>
          <w:lang w:val="en-US"/>
        </w:rPr>
      </w:pPr>
      <w:r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lastRenderedPageBreak/>
        <w:t xml:space="preserve">Code of </w:t>
      </w:r>
      <w:r w:rsidR="00190F94"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t>Practice</w:t>
      </w:r>
      <w:r w:rsidRPr="00EB4997">
        <w:rPr>
          <w:rFonts w:ascii="Century Gothic" w:hAnsi="Century Gothic"/>
          <w:b/>
          <w:bCs/>
          <w:color w:val="EF5E2F"/>
          <w:sz w:val="48"/>
          <w:szCs w:val="48"/>
          <w:lang w:val="en-US"/>
        </w:rPr>
        <w:t xml:space="preserve"> for Pub Businesses</w:t>
      </w:r>
    </w:p>
    <w:p w14:paraId="3D0DBEE4" w14:textId="77777777" w:rsidR="00EB4997" w:rsidRPr="00EB4997" w:rsidRDefault="00EB4997" w:rsidP="00EB4997">
      <w:pPr>
        <w:rPr>
          <w:lang w:val="en-US"/>
        </w:rPr>
      </w:pPr>
    </w:p>
    <w:p w14:paraId="265D79C8" w14:textId="5DDB8078" w:rsidR="00BD022D" w:rsidRPr="00EB4997" w:rsidRDefault="00A51FD0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M</w:t>
      </w:r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onitor and review annually the effectiveness of the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Charter</w:t>
      </w:r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and industry best practice initiatives through </w:t>
      </w:r>
      <w:proofErr w:type="spellStart"/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UKHospitality</w:t>
      </w:r>
      <w:proofErr w:type="spellEnd"/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and BBPA’s joint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G</w:t>
      </w:r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aming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G</w:t>
      </w:r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roup,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in conjunction with other industry</w:t>
      </w:r>
      <w:r w:rsidR="00BD022D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stakeholders. </w:t>
      </w:r>
    </w:p>
    <w:p w14:paraId="500E08ED" w14:textId="02FC1D52" w:rsidR="00BD4737" w:rsidRPr="00EB4997" w:rsidRDefault="00BD4737" w:rsidP="00BD4737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where a Challenge 21 / Challenge 25 policy is adopted for the sale of alcohol, the same policy and approach is applied for challenging players of gaming machines.</w:t>
      </w:r>
    </w:p>
    <w:p w14:paraId="73A911CE" w14:textId="5FEAB837" w:rsidR="00490AE2" w:rsidRPr="00EB4997" w:rsidRDefault="00A51FD0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</w:t>
      </w:r>
      <w:r w:rsidR="00490AE2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nsure regular training for all staff on the issue of under-age gambling</w:t>
      </w:r>
      <w:r w:rsidR="00DB5B2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and how this should be tackled in the pub. </w:t>
      </w:r>
    </w:p>
    <w:p w14:paraId="7BF4FE17" w14:textId="636A89F6" w:rsidR="00BD4737" w:rsidRPr="00EB4997" w:rsidRDefault="00BD4737" w:rsidP="00BD4737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specific guidance is given to pub staff regarding siting of gaming machines and also preventing under</w:t>
      </w:r>
      <w:r w:rsidR="009A5216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-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age play of machines.  For example, machines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>must be located in a place within the premises so that their use can be supervised by staff directly or by other means (e.g. CCTV</w:t>
      </w:r>
      <w:proofErr w:type="gramStart"/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>), and</w:t>
      </w:r>
      <w:proofErr w:type="gramEnd"/>
      <w:r w:rsidRPr="00EB4997">
        <w:rPr>
          <w:rFonts w:ascii="Century Gothic" w:hAnsi="Century Gothic"/>
          <w:color w:val="404040" w:themeColor="text1" w:themeTint="BF"/>
          <w:sz w:val="24"/>
          <w:szCs w:val="24"/>
        </w:rPr>
        <w:t xml:space="preserve"> must be located away from ATMs.</w:t>
      </w:r>
    </w:p>
    <w:p w14:paraId="62B024AE" w14:textId="77777777" w:rsidR="00285971" w:rsidRPr="00EB4997" w:rsidRDefault="00285971" w:rsidP="00285971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that clear information is provided to customers to assist them in making informed decisions. This could include providing staff with necessary messaging materials aimed at under-age players and problem gamblers.</w:t>
      </w:r>
    </w:p>
    <w:p w14:paraId="7017165B" w14:textId="150F0461" w:rsidR="00EC1915" w:rsidRPr="00EB4997" w:rsidRDefault="00A51FD0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U</w:t>
      </w:r>
      <w:r w:rsidR="00EC1915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ndertake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(or commission) </w:t>
      </w:r>
      <w:r w:rsidR="00EC1915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regular age-verification testing across all of the estate</w:t>
      </w:r>
      <w:r w:rsidR="007077EE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, using an industry-accepted protocol</w:t>
      </w:r>
      <w:r w:rsidR="00EC1915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</w:t>
      </w:r>
    </w:p>
    <w:p w14:paraId="67800A67" w14:textId="1F64C7AA" w:rsidR="00BD4737" w:rsidRPr="00EB4997" w:rsidRDefault="00AA22AD" w:rsidP="00BD4737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Implement and maintain</w:t>
      </w:r>
      <w:r w:rsidR="00BD4737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 written procedure for complaint and dispute handling, regarding the use of gaming machines in pubs.</w:t>
      </w:r>
    </w:p>
    <w:p w14:paraId="3CFBE090" w14:textId="62784A22" w:rsidR="00B72244" w:rsidRPr="00EB4997" w:rsidRDefault="00AA22AD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Implement and maintain</w:t>
      </w:r>
      <w:r w:rsidR="00A51FD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an</w:t>
      </w:r>
      <w:r w:rsidR="00B7224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internal disciplinary process for 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managed </w:t>
      </w:r>
      <w:r w:rsidR="00B7224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pubs and </w:t>
      </w:r>
      <w:r w:rsidR="007B3DD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specific </w:t>
      </w:r>
      <w:r w:rsidR="00B7224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staff that consistently fail age-verification testing.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 </w:t>
      </w:r>
      <w:r w:rsidR="00F11471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Similarly, t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enanted pub</w:t>
      </w:r>
      <w:r w:rsidR="00F11471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s will also be encouraged to have a disciplinary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process for </w:t>
      </w:r>
      <w:r w:rsidR="00F11471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their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staff.</w:t>
      </w:r>
    </w:p>
    <w:p w14:paraId="0B025DA7" w14:textId="5CE938BE" w:rsidR="00527B70" w:rsidRPr="00EB4997" w:rsidRDefault="00A51FD0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Ensure c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ompl</w:t>
      </w: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iance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with relevant codes and practices</w:t>
      </w:r>
      <w:r w:rsidR="0046048F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such as the </w:t>
      </w:r>
      <w:r w:rsidR="00BD4737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Gambling </w:t>
      </w:r>
      <w:r w:rsidR="0046048F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Commission’s Code of Practice for Gaming Machines in Clubs and Premises with an Alcohol </w:t>
      </w:r>
      <w:proofErr w:type="spellStart"/>
      <w:r w:rsidR="0046048F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Licence</w:t>
      </w:r>
      <w:proofErr w:type="spellEnd"/>
      <w:r w:rsidR="00190F9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</w:t>
      </w:r>
    </w:p>
    <w:p w14:paraId="61E16D3F" w14:textId="70A0AE0F" w:rsidR="00010FB2" w:rsidRPr="00EB4997" w:rsidRDefault="00A51FD0" w:rsidP="009E5045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C</w:t>
      </w:r>
      <w:r w:rsidR="00010FB2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ontinue working with machine manufacturers and providers, to incorporate appropriate messaging for players, and help to prevent both under-age gambling and problem gambling.</w:t>
      </w:r>
    </w:p>
    <w:p w14:paraId="21CF42E8" w14:textId="5AD43C09" w:rsidR="00EB4997" w:rsidRPr="00EB4997" w:rsidRDefault="00A51FD0" w:rsidP="00EB4997">
      <w:pPr>
        <w:pStyle w:val="ListParagraph"/>
        <w:numPr>
          <w:ilvl w:val="0"/>
          <w:numId w:val="11"/>
        </w:numPr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</w:pPr>
      <w:r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M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ake an annual cash contribution to a gambling charity,</w:t>
      </w:r>
      <w:r w:rsidR="00537DD4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</w:t>
      </w:r>
      <w:r w:rsidR="0028597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such as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</w:t>
      </w:r>
      <w:proofErr w:type="spellStart"/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GambleAware</w:t>
      </w:r>
      <w:proofErr w:type="spellEnd"/>
      <w:r w:rsidR="00285971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or other gambling charities approved by the Gambling Commission</w:t>
      </w:r>
      <w:r w:rsidR="00527B70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>.</w:t>
      </w:r>
      <w:r w:rsidR="00BD4737" w:rsidRPr="00EB4997">
        <w:rPr>
          <w:rFonts w:ascii="Century Gothic" w:hAnsi="Century Gothic"/>
          <w:color w:val="404040" w:themeColor="text1" w:themeTint="BF"/>
          <w:sz w:val="24"/>
          <w:szCs w:val="24"/>
          <w:lang w:val="en-US"/>
        </w:rPr>
        <w:t xml:space="preserve"> </w:t>
      </w:r>
    </w:p>
    <w:p w14:paraId="56BA57CD" w14:textId="77777777" w:rsidR="00EB4997" w:rsidRDefault="00EB4997" w:rsidP="00EB4997">
      <w:pPr>
        <w:rPr>
          <w:rFonts w:ascii="Century Gothic" w:hAnsi="Century Gothic"/>
          <w:b/>
          <w:bCs/>
          <w:lang w:val="en-US"/>
        </w:rPr>
      </w:pPr>
    </w:p>
    <w:p w14:paraId="25E3529E" w14:textId="42E8CFAD" w:rsidR="00C3008A" w:rsidRPr="00EB4997" w:rsidRDefault="00C3008A" w:rsidP="00EB4997">
      <w:pPr>
        <w:rPr>
          <w:rFonts w:ascii="Century Gothic" w:hAnsi="Century Gothic"/>
          <w:b/>
          <w:bCs/>
          <w:lang w:val="en-US"/>
        </w:rPr>
      </w:pPr>
      <w:r w:rsidRPr="00EB4997">
        <w:rPr>
          <w:rFonts w:ascii="Century Gothic" w:hAnsi="Century Gothic"/>
          <w:b/>
          <w:bCs/>
          <w:lang w:val="en-US"/>
        </w:rPr>
        <w:t>References:</w:t>
      </w:r>
    </w:p>
    <w:p w14:paraId="1191C883" w14:textId="34662BCD" w:rsidR="00EB4997" w:rsidRDefault="00585AA6" w:rsidP="003675CA">
      <w:pPr>
        <w:rPr>
          <w:rFonts w:ascii="Century Gothic" w:hAnsi="Century Gothic"/>
          <w:color w:val="404040" w:themeColor="text1" w:themeTint="BF"/>
          <w:lang w:val="en-US"/>
        </w:rPr>
      </w:pPr>
      <w:hyperlink r:id="rId11" w:history="1">
        <w:r w:rsidR="00C3008A" w:rsidRPr="00EB4997">
          <w:rPr>
            <w:rStyle w:val="Hyperlink"/>
            <w:rFonts w:ascii="Century Gothic" w:hAnsi="Century Gothic"/>
            <w:color w:val="404040" w:themeColor="text1" w:themeTint="BF"/>
            <w:lang w:val="en-US"/>
          </w:rPr>
          <w:t xml:space="preserve">Gambling Commission: Code of practice for gaming machines in clubs and premises with an alcohol </w:t>
        </w:r>
        <w:proofErr w:type="spellStart"/>
        <w:r w:rsidR="00C3008A" w:rsidRPr="00EB4997">
          <w:rPr>
            <w:rStyle w:val="Hyperlink"/>
            <w:rFonts w:ascii="Century Gothic" w:hAnsi="Century Gothic"/>
            <w:color w:val="404040" w:themeColor="text1" w:themeTint="BF"/>
            <w:lang w:val="en-US"/>
          </w:rPr>
          <w:t>licence</w:t>
        </w:r>
        <w:proofErr w:type="spellEnd"/>
      </w:hyperlink>
      <w:r w:rsidR="00C3008A" w:rsidRPr="00EB4997">
        <w:rPr>
          <w:rFonts w:ascii="Century Gothic" w:hAnsi="Century Gothic"/>
          <w:color w:val="404040" w:themeColor="text1" w:themeTint="BF"/>
          <w:lang w:val="en-US"/>
        </w:rPr>
        <w:t xml:space="preserve"> (Aug 2014)</w:t>
      </w:r>
    </w:p>
    <w:p w14:paraId="53DF571F" w14:textId="77777777" w:rsidR="00EB4997" w:rsidRDefault="00EB4997" w:rsidP="00EB4997">
      <w:pPr>
        <w:jc w:val="right"/>
        <w:rPr>
          <w:rFonts w:ascii="Century Gothic" w:hAnsi="Century Gothic"/>
          <w:b/>
          <w:bCs/>
          <w:color w:val="404040" w:themeColor="text1" w:themeTint="BF"/>
          <w:sz w:val="24"/>
          <w:szCs w:val="24"/>
          <w:lang w:val="en-US"/>
        </w:rPr>
      </w:pPr>
    </w:p>
    <w:p w14:paraId="42CB23B8" w14:textId="10D26486" w:rsidR="0041022E" w:rsidRPr="00EB4997" w:rsidRDefault="00262544" w:rsidP="00EB4997">
      <w:pPr>
        <w:jc w:val="right"/>
        <w:rPr>
          <w:rFonts w:ascii="Century Gothic" w:hAnsi="Century Gothic"/>
          <w:color w:val="404040" w:themeColor="text1" w:themeTint="BF"/>
          <w:lang w:val="en-US"/>
        </w:rPr>
      </w:pPr>
      <w:r>
        <w:rPr>
          <w:rFonts w:ascii="Century Gothic" w:hAnsi="Century Gothic"/>
          <w:b/>
          <w:bCs/>
          <w:color w:val="404040" w:themeColor="text1" w:themeTint="BF"/>
          <w:sz w:val="24"/>
          <w:szCs w:val="24"/>
          <w:lang w:val="en-US"/>
        </w:rPr>
        <w:t>September</w:t>
      </w:r>
      <w:r w:rsidR="00A51FD0" w:rsidRPr="00EB4997">
        <w:rPr>
          <w:rFonts w:ascii="Century Gothic" w:hAnsi="Century Gothic"/>
          <w:b/>
          <w:bCs/>
          <w:color w:val="404040" w:themeColor="text1" w:themeTint="BF"/>
          <w:sz w:val="24"/>
          <w:szCs w:val="24"/>
          <w:lang w:val="en-US"/>
        </w:rPr>
        <w:t xml:space="preserve"> 2019</w:t>
      </w:r>
    </w:p>
    <w:sectPr w:rsidR="0041022E" w:rsidRPr="00EB4997" w:rsidSect="00EB499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2974A" w14:textId="77777777" w:rsidR="00585AA6" w:rsidRDefault="00585AA6" w:rsidP="00EB4997">
      <w:pPr>
        <w:spacing w:after="0" w:line="240" w:lineRule="auto"/>
      </w:pPr>
      <w:r>
        <w:separator/>
      </w:r>
    </w:p>
  </w:endnote>
  <w:endnote w:type="continuationSeparator" w:id="0">
    <w:p w14:paraId="6312078D" w14:textId="77777777" w:rsidR="00585AA6" w:rsidRDefault="00585AA6" w:rsidP="00EB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DF7C97" w14:textId="77777777" w:rsidR="00585AA6" w:rsidRDefault="00585AA6" w:rsidP="00EB4997">
      <w:pPr>
        <w:spacing w:after="0" w:line="240" w:lineRule="auto"/>
      </w:pPr>
      <w:r>
        <w:separator/>
      </w:r>
    </w:p>
  </w:footnote>
  <w:footnote w:type="continuationSeparator" w:id="0">
    <w:p w14:paraId="19473D01" w14:textId="77777777" w:rsidR="00585AA6" w:rsidRDefault="00585AA6" w:rsidP="00EB4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C276D"/>
    <w:multiLevelType w:val="hybridMultilevel"/>
    <w:tmpl w:val="3AB0D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629BA"/>
    <w:multiLevelType w:val="hybridMultilevel"/>
    <w:tmpl w:val="84F88F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51980"/>
    <w:multiLevelType w:val="hybridMultilevel"/>
    <w:tmpl w:val="9940D9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226FE"/>
    <w:multiLevelType w:val="hybridMultilevel"/>
    <w:tmpl w:val="2A7AFE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45A91"/>
    <w:multiLevelType w:val="hybridMultilevel"/>
    <w:tmpl w:val="70DE7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04B93"/>
    <w:multiLevelType w:val="hybridMultilevel"/>
    <w:tmpl w:val="F83E13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D1E45"/>
    <w:multiLevelType w:val="hybridMultilevel"/>
    <w:tmpl w:val="FDBA95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B3388"/>
    <w:multiLevelType w:val="hybridMultilevel"/>
    <w:tmpl w:val="60D2E7B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2E30A3"/>
    <w:multiLevelType w:val="hybridMultilevel"/>
    <w:tmpl w:val="1C4624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B07AB9"/>
    <w:multiLevelType w:val="hybridMultilevel"/>
    <w:tmpl w:val="CE96CB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73DF3"/>
    <w:multiLevelType w:val="hybridMultilevel"/>
    <w:tmpl w:val="D64CBE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0A51FA"/>
    <w:multiLevelType w:val="hybridMultilevel"/>
    <w:tmpl w:val="ACC6B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B22B9"/>
    <w:multiLevelType w:val="hybridMultilevel"/>
    <w:tmpl w:val="B25AC9C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A4114F4"/>
    <w:multiLevelType w:val="hybridMultilevel"/>
    <w:tmpl w:val="085892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05BD5"/>
    <w:multiLevelType w:val="hybridMultilevel"/>
    <w:tmpl w:val="7D767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65369"/>
    <w:multiLevelType w:val="hybridMultilevel"/>
    <w:tmpl w:val="6EAE66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5"/>
  </w:num>
  <w:num w:numId="5">
    <w:abstractNumId w:val="0"/>
  </w:num>
  <w:num w:numId="6">
    <w:abstractNumId w:val="1"/>
  </w:num>
  <w:num w:numId="7">
    <w:abstractNumId w:val="6"/>
  </w:num>
  <w:num w:numId="8">
    <w:abstractNumId w:val="10"/>
  </w:num>
  <w:num w:numId="9">
    <w:abstractNumId w:val="13"/>
  </w:num>
  <w:num w:numId="10">
    <w:abstractNumId w:val="7"/>
  </w:num>
  <w:num w:numId="11">
    <w:abstractNumId w:val="12"/>
  </w:num>
  <w:num w:numId="12">
    <w:abstractNumId w:val="3"/>
  </w:num>
  <w:num w:numId="13">
    <w:abstractNumId w:val="9"/>
  </w:num>
  <w:num w:numId="14">
    <w:abstractNumId w:val="8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5CA"/>
    <w:rsid w:val="00010FB2"/>
    <w:rsid w:val="000D44FD"/>
    <w:rsid w:val="000E62AA"/>
    <w:rsid w:val="00110596"/>
    <w:rsid w:val="00190F94"/>
    <w:rsid w:val="001B3974"/>
    <w:rsid w:val="001E2864"/>
    <w:rsid w:val="001E75E1"/>
    <w:rsid w:val="00262544"/>
    <w:rsid w:val="0027556C"/>
    <w:rsid w:val="00285971"/>
    <w:rsid w:val="002C7537"/>
    <w:rsid w:val="002E010C"/>
    <w:rsid w:val="0031258B"/>
    <w:rsid w:val="00315A10"/>
    <w:rsid w:val="003559C6"/>
    <w:rsid w:val="003675CA"/>
    <w:rsid w:val="0041022E"/>
    <w:rsid w:val="00417C67"/>
    <w:rsid w:val="004268BA"/>
    <w:rsid w:val="0046048F"/>
    <w:rsid w:val="00490AE2"/>
    <w:rsid w:val="00527B70"/>
    <w:rsid w:val="00537DD4"/>
    <w:rsid w:val="00585AA6"/>
    <w:rsid w:val="005E6441"/>
    <w:rsid w:val="006031E8"/>
    <w:rsid w:val="006614D1"/>
    <w:rsid w:val="00667A91"/>
    <w:rsid w:val="006B7609"/>
    <w:rsid w:val="006D7D7D"/>
    <w:rsid w:val="007077EE"/>
    <w:rsid w:val="00710C1A"/>
    <w:rsid w:val="00754C5F"/>
    <w:rsid w:val="0075795F"/>
    <w:rsid w:val="007B214B"/>
    <w:rsid w:val="007B3DD1"/>
    <w:rsid w:val="007E6FE6"/>
    <w:rsid w:val="008870E3"/>
    <w:rsid w:val="0089039A"/>
    <w:rsid w:val="00893CB2"/>
    <w:rsid w:val="008C222B"/>
    <w:rsid w:val="008D6FA4"/>
    <w:rsid w:val="00955C96"/>
    <w:rsid w:val="009A5216"/>
    <w:rsid w:val="009E5045"/>
    <w:rsid w:val="00A1716B"/>
    <w:rsid w:val="00A31E01"/>
    <w:rsid w:val="00A40597"/>
    <w:rsid w:val="00A51FD0"/>
    <w:rsid w:val="00AA22AD"/>
    <w:rsid w:val="00AB0DDB"/>
    <w:rsid w:val="00AE69F1"/>
    <w:rsid w:val="00B019F5"/>
    <w:rsid w:val="00B72244"/>
    <w:rsid w:val="00BC4CBF"/>
    <w:rsid w:val="00BD022D"/>
    <w:rsid w:val="00BD2AA6"/>
    <w:rsid w:val="00BD4737"/>
    <w:rsid w:val="00C11135"/>
    <w:rsid w:val="00C3008A"/>
    <w:rsid w:val="00C34B18"/>
    <w:rsid w:val="00C453D7"/>
    <w:rsid w:val="00D02B00"/>
    <w:rsid w:val="00D20253"/>
    <w:rsid w:val="00D3358B"/>
    <w:rsid w:val="00D33896"/>
    <w:rsid w:val="00D8103C"/>
    <w:rsid w:val="00DA2842"/>
    <w:rsid w:val="00DA787B"/>
    <w:rsid w:val="00DB110A"/>
    <w:rsid w:val="00DB5B24"/>
    <w:rsid w:val="00E50AE6"/>
    <w:rsid w:val="00EB4997"/>
    <w:rsid w:val="00EC1915"/>
    <w:rsid w:val="00ED2912"/>
    <w:rsid w:val="00EF3E74"/>
    <w:rsid w:val="00F011EB"/>
    <w:rsid w:val="00F10658"/>
    <w:rsid w:val="00F11471"/>
    <w:rsid w:val="00F3616D"/>
    <w:rsid w:val="00F74245"/>
    <w:rsid w:val="00FC49CF"/>
    <w:rsid w:val="00FC507B"/>
    <w:rsid w:val="00FD6EAD"/>
    <w:rsid w:val="00FE0B77"/>
    <w:rsid w:val="00FF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8B2D6"/>
  <w15:docId w15:val="{5D4C25C7-0321-4F3D-A2C8-377C10316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90AE2"/>
  </w:style>
  <w:style w:type="paragraph" w:styleId="Heading1">
    <w:name w:val="heading 1"/>
    <w:basedOn w:val="Normal"/>
    <w:next w:val="Normal"/>
    <w:link w:val="Heading1Char"/>
    <w:uiPriority w:val="9"/>
    <w:qFormat/>
    <w:rsid w:val="003125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25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25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258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D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D7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50A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0A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0A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A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AE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300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08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8597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FC49C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1258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25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31258B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31258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125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25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258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1258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31258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EB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997"/>
  </w:style>
  <w:style w:type="paragraph" w:styleId="Footer">
    <w:name w:val="footer"/>
    <w:basedOn w:val="Normal"/>
    <w:link w:val="FooterChar"/>
    <w:uiPriority w:val="99"/>
    <w:unhideWhenUsed/>
    <w:rsid w:val="00EB49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amblingcommission.gov.uk/pdf/code-of-practice-for-gaming-machines-in-clubs-and-premises-with-an-alcohol-licence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E04DE-D05A-2947-BD9E-FFF02A716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Clifford</dc:creator>
  <cp:lastModifiedBy>David Clifton</cp:lastModifiedBy>
  <cp:revision>2</cp:revision>
  <cp:lastPrinted>2018-11-28T09:38:00Z</cp:lastPrinted>
  <dcterms:created xsi:type="dcterms:W3CDTF">2019-10-05T16:50:00Z</dcterms:created>
  <dcterms:modified xsi:type="dcterms:W3CDTF">2019-10-05T16:50:00Z</dcterms:modified>
</cp:coreProperties>
</file>